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4" w:rsidRDefault="001B7A81" w:rsidP="00300104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 </w:t>
      </w:r>
      <w:r w:rsidR="00300104">
        <w:rPr>
          <w:b/>
          <w:bCs/>
          <w:sz w:val="22"/>
          <w:szCs w:val="22"/>
          <w:lang w:eastAsia="ru-RU"/>
        </w:rPr>
        <w:t xml:space="preserve">Приложение №1 </w:t>
      </w:r>
    </w:p>
    <w:p w:rsidR="00300104" w:rsidRDefault="00300104" w:rsidP="00300104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к извещению об осуществлении закупки</w:t>
      </w:r>
    </w:p>
    <w:p w:rsidR="00300104" w:rsidRDefault="00300104" w:rsidP="00300104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b/>
          <w:bCs/>
          <w:sz w:val="22"/>
          <w:szCs w:val="22"/>
          <w:lang w:eastAsia="ru-RU"/>
        </w:rPr>
      </w:pPr>
    </w:p>
    <w:p w:rsidR="001D738B" w:rsidRDefault="0033095E" w:rsidP="007952E8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Описание объекта закупки (Техническое задание) на поставку</w:t>
      </w:r>
      <w:r w:rsidR="00AF0A13">
        <w:rPr>
          <w:b/>
          <w:bCs/>
          <w:sz w:val="22"/>
          <w:szCs w:val="22"/>
          <w:lang w:eastAsia="ru-RU"/>
        </w:rPr>
        <w:t xml:space="preserve"> светодиодных светильников </w:t>
      </w:r>
    </w:p>
    <w:p w:rsidR="00B330A5" w:rsidRDefault="00B330A5" w:rsidP="007952E8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sz w:val="22"/>
          <w:szCs w:val="22"/>
          <w:lang w:eastAsia="ru-RU"/>
        </w:rPr>
      </w:pPr>
    </w:p>
    <w:tbl>
      <w:tblPr>
        <w:tblStyle w:val="a8"/>
        <w:tblW w:w="16427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331"/>
        <w:gridCol w:w="1276"/>
        <w:gridCol w:w="1559"/>
        <w:gridCol w:w="2268"/>
        <w:gridCol w:w="2268"/>
        <w:gridCol w:w="1790"/>
        <w:gridCol w:w="1666"/>
      </w:tblGrid>
      <w:tr w:rsidR="004B5FDC" w:rsidRPr="004B5FDC" w:rsidTr="004B5FDC">
        <w:trPr>
          <w:jc w:val="center"/>
        </w:trPr>
        <w:tc>
          <w:tcPr>
            <w:tcW w:w="567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2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331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Основные технические характеристики товара</w:t>
            </w:r>
          </w:p>
        </w:tc>
        <w:tc>
          <w:tcPr>
            <w:tcW w:w="1276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Количество в единицах измерения</w:t>
            </w:r>
          </w:p>
        </w:tc>
        <w:tc>
          <w:tcPr>
            <w:tcW w:w="2268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268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Национальный</w:t>
            </w:r>
          </w:p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 xml:space="preserve">режим в соответствии с постановлением Правительства от 23.12.2024 г. №1875  </w:t>
            </w:r>
          </w:p>
        </w:tc>
        <w:tc>
          <w:tcPr>
            <w:tcW w:w="1790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 xml:space="preserve">Номер позиции из перечня ТРУ </w:t>
            </w:r>
          </w:p>
        </w:tc>
        <w:tc>
          <w:tcPr>
            <w:tcW w:w="1666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4B5FDC" w:rsidRPr="004B5FDC" w:rsidTr="004B5FDC">
        <w:trPr>
          <w:jc w:val="center"/>
        </w:trPr>
        <w:tc>
          <w:tcPr>
            <w:tcW w:w="567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</w:tcPr>
          <w:p w:rsidR="004B5FDC" w:rsidRPr="004B5FDC" w:rsidRDefault="004B5FDC" w:rsidP="007D71BD">
            <w:pPr>
              <w:suppressAutoHyphens w:val="0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Светильник светодиодный внутреннего освещения </w:t>
            </w: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27.40.25.123-00000007</w:t>
            </w: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Аварийный светильник </w:t>
            </w: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«Выход»</w:t>
            </w:r>
          </w:p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vAlign w:val="center"/>
          </w:tcPr>
          <w:p w:rsidR="004B5FDC" w:rsidRPr="004B5FDC" w:rsidRDefault="004B5FDC" w:rsidP="00B84B78">
            <w:pPr>
              <w:shd w:val="clear" w:color="auto" w:fill="FFFFFF"/>
              <w:suppressAutoHyphens w:val="0"/>
              <w:rPr>
                <w:rFonts w:ascii="PT Astra Serif" w:hAnsi="PT Astra Serif" w:cs="Arial"/>
                <w:b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b/>
                <w:color w:val="212529"/>
                <w:sz w:val="20"/>
                <w:szCs w:val="20"/>
                <w:lang w:eastAsia="ru-RU"/>
              </w:rPr>
              <w:t xml:space="preserve">Обязательные характеристики: 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Вид светильника: </w:t>
            </w:r>
            <w:proofErr w:type="spellStart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Настенно</w:t>
            </w:r>
            <w:proofErr w:type="spellEnd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-потолочный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Коррелированная цветовая температура, </w:t>
            </w:r>
            <w:proofErr w:type="spellStart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min</w:t>
            </w:r>
            <w:proofErr w:type="spellEnd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: ≥ 6500</w:t>
            </w:r>
            <w:proofErr w:type="gramStart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 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Мощность ≤ 5 Вт 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Световой поток ≤ 1000 лм, 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Класс защиты от электрического тока: I</w:t>
            </w:r>
          </w:p>
          <w:p w:rsidR="004B5FDC" w:rsidRPr="004B5FDC" w:rsidRDefault="004B5FDC" w:rsidP="00B84B78">
            <w:pPr>
              <w:shd w:val="clear" w:color="auto" w:fill="FFFFFF"/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Коррелированная цветовая температура, </w:t>
            </w:r>
            <w:proofErr w:type="spellStart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max</w:t>
            </w:r>
            <w:proofErr w:type="spellEnd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: ≤ 6500</w:t>
            </w:r>
            <w:proofErr w:type="gramStart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  <w:p w:rsidR="004B5FDC" w:rsidRPr="004B5FDC" w:rsidRDefault="004B5FDC" w:rsidP="00B84B78">
            <w:pPr>
              <w:shd w:val="clear" w:color="auto" w:fill="FFFFFF"/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Индекс цветопередачи: ≥ 70 и &lt; 80</w:t>
            </w:r>
          </w:p>
          <w:p w:rsidR="004B5FDC" w:rsidRPr="004B5FDC" w:rsidRDefault="004B5FDC" w:rsidP="00B84B78">
            <w:pPr>
              <w:shd w:val="clear" w:color="auto" w:fill="FFFFFF"/>
              <w:suppressAutoHyphens w:val="0"/>
              <w:rPr>
                <w:rFonts w:ascii="PT Astra Serif" w:hAnsi="PT Astra Serif" w:cs="Arial"/>
                <w:b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b/>
                <w:color w:val="212529"/>
                <w:sz w:val="20"/>
                <w:szCs w:val="20"/>
                <w:lang w:eastAsia="ru-RU"/>
              </w:rPr>
              <w:t xml:space="preserve">Необязательные характеристики: 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Форма: Прямоугольная 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Длина светильника:  ≥ 300 и &lt; 500 мм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Ширина светильника: &lt; 50 мм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Высота светильника: ≥ 100 и &lt; 150 мм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: Стекло</w:t>
            </w:r>
          </w:p>
          <w:p w:rsidR="004B5FDC" w:rsidRPr="004B5FDC" w:rsidRDefault="004B5FDC" w:rsidP="00B84B78">
            <w:pPr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Материал корпуса светильника: Алюминий</w:t>
            </w:r>
          </w:p>
          <w:p w:rsidR="004B5FDC" w:rsidRPr="004B5FDC" w:rsidRDefault="004B5FDC" w:rsidP="00B84B78">
            <w:pPr>
              <w:suppressAutoHyphens w:val="0"/>
              <w:spacing w:line="276" w:lineRule="auto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 xml:space="preserve">Тип светильника: Линейный. </w:t>
            </w:r>
          </w:p>
          <w:p w:rsidR="004B5FDC" w:rsidRPr="004B5FDC" w:rsidRDefault="004B5FDC" w:rsidP="00B84B78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 xml:space="preserve"> Дополнительные характеристики: </w:t>
            </w:r>
          </w:p>
          <w:p w:rsidR="004B5FDC" w:rsidRPr="004B5FDC" w:rsidRDefault="004B5FDC" w:rsidP="00B84B78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Класс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А+.</w:t>
            </w:r>
          </w:p>
          <w:p w:rsidR="004B5FDC" w:rsidRPr="004B5FDC" w:rsidRDefault="004B5FDC" w:rsidP="00B84B78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Цвет табло: зеленый.</w:t>
            </w:r>
          </w:p>
          <w:p w:rsidR="004B5FDC" w:rsidRPr="004B5FDC" w:rsidRDefault="004B5FDC" w:rsidP="00B84B78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Напряжение - 220 В.</w:t>
            </w:r>
          </w:p>
          <w:p w:rsidR="004B5FDC" w:rsidRPr="004B5FDC" w:rsidRDefault="004B5FDC" w:rsidP="00B84B78">
            <w:pPr>
              <w:suppressAutoHyphens w:val="0"/>
              <w:spacing w:line="276" w:lineRule="auto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Обоснование: </w:t>
            </w:r>
          </w:p>
          <w:p w:rsidR="004B5FDC" w:rsidRPr="004B5FDC" w:rsidRDefault="004B5FDC" w:rsidP="00B84B78">
            <w:pPr>
              <w:suppressAutoHyphens w:val="0"/>
              <w:spacing w:line="276" w:lineRule="auto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ГОСТ 12.4.026-2015 Система </w:t>
            </w:r>
            <w:r w:rsidRPr="004B5FDC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lastRenderedPageBreak/>
              <w:t>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Поправками, с Изменением N 1)</w:t>
            </w:r>
          </w:p>
          <w:p w:rsidR="004B5FDC" w:rsidRPr="004B5FDC" w:rsidRDefault="004B5FDC" w:rsidP="00B330A5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В соответствии со статьей 26 Федерального закона "Об энергосбережении 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и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      </w:r>
          </w:p>
        </w:tc>
        <w:tc>
          <w:tcPr>
            <w:tcW w:w="1276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268" w:type="dxa"/>
            <w:vAlign w:val="center"/>
          </w:tcPr>
          <w:p w:rsidR="004B5FDC" w:rsidRPr="004B5FDC" w:rsidRDefault="004B5FDC" w:rsidP="003C6E04">
            <w:pPr>
              <w:suppressAutoHyphens w:val="0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  <w:p w:rsidR="004B5FDC" w:rsidRPr="004B5FDC" w:rsidRDefault="004B5FDC" w:rsidP="00B84B78">
            <w:pP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6CFC618" wp14:editId="6BEF3326">
                      <wp:extent cx="307340" cy="307340"/>
                      <wp:effectExtent l="0" t="0" r="0" b="0"/>
                      <wp:docPr id="6" name="AutoShape 3" descr="C:\Users\Filippova_mg\Desktop\Rma4nhbeTSpo5629G8j3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C82SUD5AIAAPcFAAAOAAAAAAAAAAAAAAAA&#10;AC4CAABkcnMvZTJvRG9jLnhtbFBLAQItABQABgAIAAAAIQDrxsCk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B5FDC">
              <w:rPr>
                <w:rFonts w:ascii="PT Astra Serif" w:eastAsiaTheme="minorHAnsi" w:hAnsi="PT Astra Serif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8A2DFE" wp14:editId="1A134669">
                  <wp:extent cx="1421659" cy="1421659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69" cy="1421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B5FDC" w:rsidRPr="004B5FDC" w:rsidRDefault="004B5FDC" w:rsidP="004B5FDC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ограничение</w:t>
            </w:r>
          </w:p>
        </w:tc>
        <w:tc>
          <w:tcPr>
            <w:tcW w:w="1790" w:type="dxa"/>
          </w:tcPr>
          <w:p w:rsidR="004B5FDC" w:rsidRPr="004B5FDC" w:rsidRDefault="004B5FDC" w:rsidP="004B5FDC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666" w:type="dxa"/>
          </w:tcPr>
          <w:p w:rsidR="004B5FDC" w:rsidRPr="004B5FDC" w:rsidRDefault="004B5FDC" w:rsidP="004B5FDC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-</w:t>
            </w:r>
          </w:p>
        </w:tc>
      </w:tr>
      <w:tr w:rsidR="004B5FDC" w:rsidRPr="004B5FDC" w:rsidTr="004B5FDC">
        <w:trPr>
          <w:jc w:val="center"/>
        </w:trPr>
        <w:tc>
          <w:tcPr>
            <w:tcW w:w="567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2" w:type="dxa"/>
          </w:tcPr>
          <w:p w:rsidR="004B5FDC" w:rsidRPr="004B5FDC" w:rsidRDefault="004B5FDC" w:rsidP="007D71BD">
            <w:pPr>
              <w:suppressAutoHyphens w:val="0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Светильник светодиодный внутреннего освещения </w:t>
            </w: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27.40.25.123-00000007</w:t>
            </w:r>
          </w:p>
          <w:p w:rsidR="004B5FDC" w:rsidRPr="004B5FDC" w:rsidRDefault="004B5FDC" w:rsidP="003677D7">
            <w:pPr>
              <w:suppressAutoHyphens w:val="0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Аварийный светильник</w:t>
            </w:r>
          </w:p>
          <w:p w:rsidR="004B5FDC" w:rsidRPr="004B5FDC" w:rsidRDefault="004B5FDC" w:rsidP="003677D7">
            <w:pPr>
              <w:suppressAutoHyphens w:val="0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</w:t>
            </w: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«Выход влево»</w:t>
            </w:r>
          </w:p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</w:p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vAlign w:val="center"/>
          </w:tcPr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Обязательные характеристики: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Вид светильника: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Настенно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-потолочный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Коррелированная цветовая температура,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min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: ≥ 6500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К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Мощность ≤ 5 Вт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Световой поток ≤ 1000 лм,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Класс защиты от электрического тока: I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Коррелированная цветовая температура,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max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: ≤ 6500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  <w:p w:rsidR="004B5FDC" w:rsidRPr="004B5FDC" w:rsidRDefault="004B5FDC" w:rsidP="00DB774B">
            <w:pPr>
              <w:shd w:val="clear" w:color="auto" w:fill="FFFFFF"/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Индекс цветопередачи: ≥ 70 и &lt; 80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Необязательные характеристики: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Форма: Прямоугольная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Длина светильника:  ≥ 300 и &lt; 500 мм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Ширина светильника: &lt; 50 мм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Высота светильника: ≥ 100 и &lt; 150 мм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Материал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рассеивателя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: Стекло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Материал корпуса светильника: </w:t>
            </w: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Алюминий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Тип светильника: Линейный.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Дополнительные характеристики: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Класс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А+.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Цвет табло: зеленый.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Напряжение - 220 В.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Обоснование: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ГОСТ 12.4.026-2015 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Поправками, с Изменением N 1)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В соответствии со статьей 26 Федерального закона "Об энергосбережении 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и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      </w:r>
          </w:p>
        </w:tc>
        <w:tc>
          <w:tcPr>
            <w:tcW w:w="1276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CE7E0A" wp14:editId="40C621CB">
                  <wp:extent cx="1260258" cy="644894"/>
                  <wp:effectExtent l="0" t="0" r="0" b="3175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27" cy="64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B5FDC" w:rsidRPr="004B5FDC" w:rsidRDefault="004B5FDC" w:rsidP="00E146F4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ограничение</w:t>
            </w:r>
          </w:p>
        </w:tc>
        <w:tc>
          <w:tcPr>
            <w:tcW w:w="1790" w:type="dxa"/>
          </w:tcPr>
          <w:p w:rsidR="004B5FDC" w:rsidRPr="004B5FDC" w:rsidRDefault="004B5FDC" w:rsidP="00E146F4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666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</w:pPr>
          </w:p>
        </w:tc>
      </w:tr>
      <w:tr w:rsidR="004B5FDC" w:rsidRPr="004B5FDC" w:rsidTr="004B5FDC">
        <w:trPr>
          <w:jc w:val="center"/>
        </w:trPr>
        <w:tc>
          <w:tcPr>
            <w:tcW w:w="567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bookmarkStart w:id="0" w:name="_GoBack" w:colFirst="6" w:colLast="7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02" w:type="dxa"/>
          </w:tcPr>
          <w:p w:rsidR="004B5FDC" w:rsidRPr="004B5FDC" w:rsidRDefault="004B5FDC" w:rsidP="007D71BD">
            <w:pPr>
              <w:suppressAutoHyphens w:val="0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Светильник светодиодный внутреннего освещения </w:t>
            </w: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27.40.25.123-00000007</w:t>
            </w: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Аварийный светильник  </w:t>
            </w:r>
            <w:r w:rsidRPr="004B5FDC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«Выход направо»</w:t>
            </w:r>
          </w:p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3331" w:type="dxa"/>
            <w:vAlign w:val="center"/>
          </w:tcPr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Обязательные характеристики: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Вид светильника: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Настенно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-потолочный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Коррелированная цветовая температура,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min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: ≥ 6500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К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Мощность ≤ 5 Вт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Световой поток ≤ 1000 лм,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Класс защиты от электрического тока: I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Коррелированная цветовая температура,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max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: ≤ 6500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  <w:p w:rsidR="004B5FDC" w:rsidRPr="004B5FDC" w:rsidRDefault="004B5FDC" w:rsidP="00DB774B">
            <w:pPr>
              <w:shd w:val="clear" w:color="auto" w:fill="FFFFFF"/>
              <w:suppressAutoHyphens w:val="0"/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</w:pPr>
            <w:r w:rsidRPr="004B5FDC">
              <w:rPr>
                <w:rFonts w:ascii="PT Astra Serif" w:hAnsi="PT Astra Serif" w:cs="Arial"/>
                <w:color w:val="212529"/>
                <w:sz w:val="20"/>
                <w:szCs w:val="20"/>
                <w:lang w:eastAsia="ru-RU"/>
              </w:rPr>
              <w:t>Индекс цветопередачи: ≥ 70 и &lt; 80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Необязательные характеристики: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Форма: Прямоугольная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Длина светильника:  ≥ 300 и &lt; 500 мм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Ширина светильника: &lt; 50 мм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Высота светильника: ≥ 100 и &lt; 150 мм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Материал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рассеивателя</w:t>
            </w:r>
            <w:proofErr w:type="spell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: Стекло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Материал корпуса светильника: Алюминий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Тип светильника: Линейный.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Дополнительные характеристики: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Класс </w:t>
            </w:r>
            <w:proofErr w:type="spell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А+.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Цвет табло: зеленый.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Напряжение - 220 В.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Обоснование: 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ГОСТ 12.4.026-2015 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Поправками, с Изменением N 1)</w:t>
            </w:r>
          </w:p>
          <w:p w:rsidR="004B5FDC" w:rsidRPr="004B5FDC" w:rsidRDefault="004B5FDC" w:rsidP="00752C3F">
            <w:pPr>
              <w:suppressAutoHyphens w:val="0"/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В соответствии со статьей 26 Федерального закона "Об энергосбережении </w:t>
            </w:r>
            <w:proofErr w:type="gramStart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и</w:t>
            </w:r>
            <w:proofErr w:type="gramEnd"/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      </w:r>
          </w:p>
        </w:tc>
        <w:tc>
          <w:tcPr>
            <w:tcW w:w="1276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77E999" wp14:editId="4C493AD1">
                  <wp:extent cx="1174704" cy="533956"/>
                  <wp:effectExtent l="0" t="0" r="6985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722" cy="53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B5FDC" w:rsidRPr="004B5FDC" w:rsidRDefault="004B5FDC" w:rsidP="00E146F4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ограничение</w:t>
            </w:r>
          </w:p>
        </w:tc>
        <w:tc>
          <w:tcPr>
            <w:tcW w:w="1790" w:type="dxa"/>
          </w:tcPr>
          <w:p w:rsidR="004B5FDC" w:rsidRPr="004B5FDC" w:rsidRDefault="004B5FDC" w:rsidP="00E146F4">
            <w:pPr>
              <w:suppressAutoHyphens w:val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B5FDC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666" w:type="dxa"/>
          </w:tcPr>
          <w:p w:rsidR="004B5FDC" w:rsidRPr="004B5FDC" w:rsidRDefault="004B5FDC" w:rsidP="00B330A5">
            <w:pPr>
              <w:suppressAutoHyphens w:val="0"/>
              <w:jc w:val="center"/>
              <w:rPr>
                <w:rFonts w:ascii="PT Astra Serif" w:eastAsiaTheme="minorHAnsi" w:hAnsi="PT Astra Serif" w:cstheme="minorBidi"/>
                <w:noProof/>
                <w:sz w:val="20"/>
                <w:szCs w:val="20"/>
                <w:lang w:eastAsia="ru-RU"/>
              </w:rPr>
            </w:pPr>
          </w:p>
        </w:tc>
      </w:tr>
      <w:bookmarkEnd w:id="0"/>
    </w:tbl>
    <w:p w:rsidR="00B330A5" w:rsidRPr="00C2068E" w:rsidRDefault="00B330A5" w:rsidP="00B330A5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rPr>
          <w:b/>
          <w:bCs/>
          <w:sz w:val="22"/>
          <w:szCs w:val="22"/>
          <w:lang w:eastAsia="ru-RU"/>
        </w:rPr>
      </w:pPr>
    </w:p>
    <w:p w:rsidR="001D738B" w:rsidRPr="00EA7572" w:rsidRDefault="001D738B" w:rsidP="001D738B">
      <w:pPr>
        <w:suppressAutoHyphens w:val="0"/>
        <w:spacing w:after="120"/>
        <w:jc w:val="both"/>
        <w:rPr>
          <w:lang w:val="x-none" w:eastAsia="x-none"/>
        </w:rPr>
      </w:pPr>
      <w:r w:rsidRPr="00EA7572">
        <w:rPr>
          <w:b/>
          <w:lang w:val="x-none" w:eastAsia="x-none"/>
        </w:rPr>
        <w:t>1. Муниципальный заказчик:</w:t>
      </w:r>
      <w:r w:rsidRPr="00EA7572">
        <w:rPr>
          <w:lang w:val="x-none" w:eastAsia="x-none"/>
        </w:rPr>
        <w:t xml:space="preserve"> </w:t>
      </w:r>
    </w:p>
    <w:p w:rsidR="006165AA" w:rsidRPr="00EA7572" w:rsidRDefault="001D738B" w:rsidP="006165AA">
      <w:pPr>
        <w:suppressAutoHyphens w:val="0"/>
        <w:spacing w:after="120"/>
        <w:jc w:val="both"/>
        <w:rPr>
          <w:lang w:eastAsia="x-none"/>
        </w:rPr>
      </w:pPr>
      <w:r w:rsidRPr="00EA7572">
        <w:rPr>
          <w:bCs/>
          <w:lang w:val="x-none" w:eastAsia="x-none"/>
        </w:rPr>
        <w:t xml:space="preserve"> </w:t>
      </w:r>
      <w:r w:rsidRPr="00EA7572">
        <w:rPr>
          <w:lang w:val="x-none" w:eastAsia="x-none"/>
        </w:rPr>
        <w:t xml:space="preserve">Администрация города </w:t>
      </w:r>
      <w:proofErr w:type="spellStart"/>
      <w:r w:rsidRPr="00EA7572">
        <w:rPr>
          <w:lang w:val="x-none" w:eastAsia="x-none"/>
        </w:rPr>
        <w:t>Югорска</w:t>
      </w:r>
      <w:proofErr w:type="spellEnd"/>
      <w:r w:rsidRPr="00EA7572">
        <w:rPr>
          <w:lang w:val="x-none" w:eastAsia="x-none"/>
        </w:rPr>
        <w:t>, 628260, Тюменская область, Ханты - Мансийский автономный округ  - Югра,</w:t>
      </w:r>
      <w:r w:rsidRPr="00EA7572">
        <w:rPr>
          <w:lang w:eastAsia="ru-RU"/>
        </w:rPr>
        <w:t xml:space="preserve"> </w:t>
      </w:r>
      <w:r w:rsidRPr="00EA7572">
        <w:rPr>
          <w:lang w:eastAsia="x-none"/>
        </w:rPr>
        <w:t>г. Югорск,</w:t>
      </w:r>
      <w:r w:rsidRPr="00EA7572">
        <w:rPr>
          <w:lang w:val="x-none" w:eastAsia="x-none"/>
        </w:rPr>
        <w:t xml:space="preserve"> ул. 40 лет Победы, 11</w:t>
      </w:r>
      <w:r w:rsidR="001B7A81">
        <w:rPr>
          <w:lang w:eastAsia="x-none"/>
        </w:rPr>
        <w:t>,</w:t>
      </w:r>
      <w:r w:rsidRPr="00EA7572">
        <w:rPr>
          <w:lang w:val="x-none" w:eastAsia="x-none"/>
        </w:rPr>
        <w:t>тел. 8 (34675) 5-00-00, 5-00-45,5-00</w:t>
      </w:r>
      <w:r w:rsidRPr="00EA7572">
        <w:rPr>
          <w:lang w:eastAsia="x-none"/>
        </w:rPr>
        <w:t>-</w:t>
      </w:r>
      <w:r w:rsidRPr="00EA7572">
        <w:rPr>
          <w:lang w:val="x-none" w:eastAsia="x-none"/>
        </w:rPr>
        <w:t>47.</w:t>
      </w:r>
    </w:p>
    <w:p w:rsidR="006165AA" w:rsidRPr="00EA7572" w:rsidRDefault="001D738B" w:rsidP="006165AA">
      <w:pPr>
        <w:tabs>
          <w:tab w:val="left" w:pos="360"/>
        </w:tabs>
        <w:suppressAutoHyphens w:val="0"/>
        <w:jc w:val="both"/>
        <w:rPr>
          <w:b/>
          <w:lang w:eastAsia="en-US"/>
        </w:rPr>
      </w:pPr>
      <w:r w:rsidRPr="00EA7572">
        <w:rPr>
          <w:b/>
          <w:lang w:eastAsia="en-US"/>
        </w:rPr>
        <w:t>2.Требования к качеству</w:t>
      </w:r>
      <w:r w:rsidR="00246A1A" w:rsidRPr="00EA7572">
        <w:rPr>
          <w:b/>
          <w:lang w:eastAsia="en-US"/>
        </w:rPr>
        <w:t xml:space="preserve"> товара</w:t>
      </w:r>
      <w:r w:rsidRPr="00EA7572">
        <w:rPr>
          <w:b/>
          <w:lang w:eastAsia="en-US"/>
        </w:rPr>
        <w:t>:</w:t>
      </w:r>
    </w:p>
    <w:p w:rsidR="006165AA" w:rsidRPr="006165AA" w:rsidRDefault="006165AA" w:rsidP="006165AA">
      <w:pPr>
        <w:widowControl w:val="0"/>
        <w:tabs>
          <w:tab w:val="left" w:pos="709"/>
        </w:tabs>
        <w:jc w:val="both"/>
        <w:rPr>
          <w:color w:val="00000A"/>
          <w:lang w:eastAsia="ru-RU"/>
        </w:rPr>
      </w:pPr>
      <w:r w:rsidRPr="006165AA">
        <w:rPr>
          <w:color w:val="00000A"/>
          <w:lang w:eastAsia="ru-RU"/>
        </w:rPr>
        <w:lastRenderedPageBreak/>
        <w:t>Товар должен быть новым (не бывшим в употреблении, не прошедшим ремонт, в т.</w:t>
      </w:r>
      <w:r w:rsidRPr="00EA7572">
        <w:rPr>
          <w:color w:val="00000A"/>
          <w:lang w:eastAsia="ru-RU"/>
        </w:rPr>
        <w:t xml:space="preserve"> </w:t>
      </w:r>
      <w:r w:rsidRPr="006165AA">
        <w:rPr>
          <w:color w:val="00000A"/>
          <w:lang w:eastAsia="ru-RU"/>
        </w:rPr>
        <w:t xml:space="preserve">ч.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6165AA">
        <w:rPr>
          <w:color w:val="00000A"/>
          <w:lang w:eastAsia="ru-RU"/>
        </w:rPr>
        <w:t>указанным</w:t>
      </w:r>
      <w:proofErr w:type="gramEnd"/>
      <w:r w:rsidRPr="006165AA">
        <w:rPr>
          <w:color w:val="00000A"/>
          <w:lang w:eastAsia="ru-RU"/>
        </w:rPr>
        <w:t xml:space="preserve"> в гарантийном талоне.</w:t>
      </w:r>
    </w:p>
    <w:p w:rsidR="006165AA" w:rsidRPr="006165AA" w:rsidRDefault="006165AA" w:rsidP="006165AA">
      <w:pPr>
        <w:widowControl w:val="0"/>
        <w:tabs>
          <w:tab w:val="left" w:pos="709"/>
        </w:tabs>
        <w:jc w:val="both"/>
        <w:rPr>
          <w:color w:val="00000A"/>
          <w:lang w:eastAsia="ru-RU"/>
        </w:rPr>
      </w:pPr>
      <w:r w:rsidRPr="006165AA">
        <w:rPr>
          <w:color w:val="00000A"/>
          <w:lang w:eastAsia="ru-RU"/>
        </w:rPr>
        <w:t>Товар должен соответствовать документации производителя.</w:t>
      </w:r>
    </w:p>
    <w:p w:rsidR="006165AA" w:rsidRPr="00EA7572" w:rsidRDefault="006165AA" w:rsidP="006165AA">
      <w:pPr>
        <w:tabs>
          <w:tab w:val="left" w:pos="360"/>
        </w:tabs>
        <w:suppressAutoHyphens w:val="0"/>
        <w:jc w:val="both"/>
        <w:rPr>
          <w:b/>
          <w:lang w:eastAsia="en-US"/>
        </w:rPr>
      </w:pPr>
    </w:p>
    <w:p w:rsidR="00246A1A" w:rsidRPr="00EA7572" w:rsidRDefault="001D738B" w:rsidP="006165AA">
      <w:pPr>
        <w:jc w:val="both"/>
        <w:rPr>
          <w:lang w:eastAsia="ru-RU"/>
        </w:rPr>
      </w:pPr>
      <w:r w:rsidRPr="001B7A81">
        <w:rPr>
          <w:lang w:eastAsia="en-US"/>
        </w:rPr>
        <w:t>2.1.</w:t>
      </w:r>
      <w:r w:rsidRPr="00EA7572">
        <w:rPr>
          <w:rFonts w:eastAsia="Calibri"/>
          <w:lang w:eastAsia="en-US"/>
        </w:rPr>
        <w:t xml:space="preserve"> </w:t>
      </w:r>
      <w:r w:rsidR="00246A1A" w:rsidRPr="00EA7572">
        <w:rPr>
          <w:lang w:eastAsia="ru-RU"/>
        </w:rPr>
        <w:t>Цена контракта включает в себя: расходы на товар, упаковку, маркировку, страхование, сертификацию, транспортные расходы по доставке товара до места назначения, погрузочно-разгрузочные работы, установленные налоги, сборы и иные расходы, связанные с исполнением контракта.</w:t>
      </w:r>
    </w:p>
    <w:p w:rsidR="001D738B" w:rsidRPr="00EA7572" w:rsidRDefault="001D738B" w:rsidP="006165AA">
      <w:pPr>
        <w:tabs>
          <w:tab w:val="left" w:pos="360"/>
        </w:tabs>
        <w:suppressAutoHyphens w:val="0"/>
        <w:jc w:val="both"/>
        <w:rPr>
          <w:lang w:eastAsia="en-US"/>
        </w:rPr>
      </w:pPr>
    </w:p>
    <w:p w:rsidR="001D738B" w:rsidRPr="00EA7572" w:rsidRDefault="006165AA" w:rsidP="006165A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1B7A81">
        <w:rPr>
          <w:lang w:eastAsia="en-US"/>
        </w:rPr>
        <w:t>2.2</w:t>
      </w:r>
      <w:r w:rsidR="001D738B" w:rsidRPr="001B7A81">
        <w:rPr>
          <w:lang w:eastAsia="en-US"/>
        </w:rPr>
        <w:t>.</w:t>
      </w:r>
      <w:r w:rsidR="001D738B" w:rsidRPr="00EA7572">
        <w:rPr>
          <w:lang w:eastAsia="en-US"/>
        </w:rPr>
        <w:t xml:space="preserve">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7952E8" w:rsidRPr="00EA7572" w:rsidRDefault="005D1C6F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b/>
          <w:lang w:eastAsia="ru-RU"/>
        </w:rPr>
        <w:t>3</w:t>
      </w:r>
      <w:r w:rsidR="001D738B" w:rsidRPr="00EA7572">
        <w:rPr>
          <w:b/>
          <w:lang w:eastAsia="ru-RU"/>
        </w:rPr>
        <w:t xml:space="preserve">.  Срок </w:t>
      </w:r>
      <w:r w:rsidR="00246A1A" w:rsidRPr="00EA7572">
        <w:rPr>
          <w:b/>
          <w:lang w:eastAsia="ru-RU"/>
        </w:rPr>
        <w:t>поставки</w:t>
      </w:r>
      <w:r w:rsidR="001D738B" w:rsidRPr="00EA7572">
        <w:rPr>
          <w:b/>
          <w:lang w:eastAsia="ru-RU"/>
        </w:rPr>
        <w:t>:</w:t>
      </w:r>
      <w:r w:rsidR="001D738B" w:rsidRPr="00EA7572">
        <w:rPr>
          <w:lang w:eastAsia="ru-RU"/>
        </w:rPr>
        <w:t xml:space="preserve"> </w:t>
      </w:r>
      <w:r w:rsidR="001B7A81">
        <w:rPr>
          <w:lang w:eastAsia="ru-RU"/>
        </w:rPr>
        <w:t xml:space="preserve"> </w:t>
      </w:r>
      <w:r w:rsidR="007952E8" w:rsidRPr="00EA7572">
        <w:rPr>
          <w:lang w:eastAsia="ru-RU"/>
        </w:rPr>
        <w:t>Поставка</w:t>
      </w:r>
      <w:r w:rsidR="009C01D3" w:rsidRPr="00EA7572">
        <w:rPr>
          <w:lang w:eastAsia="ru-RU"/>
        </w:rPr>
        <w:t xml:space="preserve"> </w:t>
      </w:r>
      <w:r w:rsidR="00CB4EC4" w:rsidRPr="00EA7572">
        <w:rPr>
          <w:lang w:eastAsia="ru-RU"/>
        </w:rPr>
        <w:t xml:space="preserve">светодиодных </w:t>
      </w:r>
      <w:r w:rsidR="009C01D3" w:rsidRPr="00EA7572">
        <w:rPr>
          <w:lang w:eastAsia="ru-RU"/>
        </w:rPr>
        <w:t>светильников</w:t>
      </w:r>
      <w:r w:rsidR="001D738B" w:rsidRPr="00EA7572">
        <w:rPr>
          <w:lang w:eastAsia="ru-RU"/>
        </w:rPr>
        <w:t xml:space="preserve"> </w:t>
      </w:r>
      <w:r w:rsidR="007952E8" w:rsidRPr="00EA7572">
        <w:rPr>
          <w:lang w:eastAsia="ru-RU"/>
        </w:rPr>
        <w:t xml:space="preserve">осуществляется </w:t>
      </w:r>
      <w:r w:rsidR="001D738B" w:rsidRPr="00EA7572">
        <w:rPr>
          <w:lang w:eastAsia="ru-RU"/>
        </w:rPr>
        <w:t xml:space="preserve"> с момента подписани</w:t>
      </w:r>
      <w:r w:rsidR="00B330A5">
        <w:rPr>
          <w:lang w:eastAsia="ru-RU"/>
        </w:rPr>
        <w:t>я муниципального контракта по 18</w:t>
      </w:r>
      <w:r w:rsidR="001D738B" w:rsidRPr="00EA7572">
        <w:rPr>
          <w:lang w:eastAsia="ru-RU"/>
        </w:rPr>
        <w:t>.</w:t>
      </w:r>
      <w:r w:rsidR="00B330A5">
        <w:rPr>
          <w:lang w:eastAsia="ru-RU"/>
        </w:rPr>
        <w:t>08</w:t>
      </w:r>
      <w:r w:rsidR="001D738B" w:rsidRPr="00EA7572">
        <w:rPr>
          <w:lang w:eastAsia="ru-RU"/>
        </w:rPr>
        <w:t>.202</w:t>
      </w:r>
      <w:r w:rsidR="005D6426" w:rsidRPr="00EA7572">
        <w:rPr>
          <w:lang w:eastAsia="ru-RU"/>
        </w:rPr>
        <w:t>5</w:t>
      </w:r>
      <w:r w:rsidR="001D738B" w:rsidRPr="00EA7572">
        <w:rPr>
          <w:lang w:eastAsia="ru-RU"/>
        </w:rPr>
        <w:t xml:space="preserve"> года</w:t>
      </w:r>
      <w:r w:rsidR="007952E8" w:rsidRPr="00EA7572">
        <w:rPr>
          <w:lang w:eastAsia="ru-RU"/>
        </w:rPr>
        <w:t>.</w:t>
      </w:r>
    </w:p>
    <w:p w:rsidR="006165AA" w:rsidRPr="001B7A81" w:rsidRDefault="006165AA" w:rsidP="006165AA">
      <w:pPr>
        <w:suppressAutoHyphens w:val="0"/>
        <w:spacing w:after="60"/>
        <w:jc w:val="both"/>
        <w:rPr>
          <w:b/>
          <w:lang w:eastAsia="ru-RU"/>
        </w:rPr>
      </w:pPr>
      <w:r w:rsidRPr="001B7A81">
        <w:rPr>
          <w:b/>
          <w:lang w:eastAsia="ru-RU"/>
        </w:rPr>
        <w:t>4. Гарантийные обязательства: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4.1. Срок, на который предоставляется гарантия: не менее 12 (двенадцати) месяцев с даты подписания Заказчиком документа о приёмке, предусмотренного муниципальным контрактом.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4.2. Требования к гарантии производителя товара: срок действия такой гарантии должен быть: не менее 12 (двенадцати) месяцев с даты подписания Заказчиком документа о приёмке, предусмотренного муниципальным контрактом.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 xml:space="preserve">4.3. Информация о требованиях к гарантийному обслуживанию товаров: 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EA7572">
        <w:rPr>
          <w:lang w:eastAsia="ru-RU"/>
        </w:rPr>
        <w:t>,</w:t>
      </w:r>
      <w:proofErr w:type="gramEnd"/>
      <w:r w:rsidRPr="00EA7572">
        <w:rPr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4.4. Объём предоставления гарантий качества товаров, работ услуг: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4.5. Порядок предоставления обеспечения, требования к обеспечению гарантийных обязательств: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EA7572">
        <w:rPr>
          <w:lang w:eastAsia="ru-RU"/>
        </w:rPr>
        <w:t>ии ау</w:t>
      </w:r>
      <w:proofErr w:type="gramEnd"/>
      <w:r w:rsidRPr="00EA7572">
        <w:rPr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Поставщик может предоставить обеспечение гарантийных обязательств любым из двух способов: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D738B" w:rsidRDefault="001B7A81" w:rsidP="007952E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lastRenderedPageBreak/>
        <w:t>5</w:t>
      </w:r>
      <w:r w:rsidR="001D738B" w:rsidRPr="00EA7572">
        <w:rPr>
          <w:b/>
          <w:lang w:eastAsia="ru-RU"/>
        </w:rPr>
        <w:t>.</w:t>
      </w:r>
      <w:r w:rsidR="001D738B" w:rsidRPr="00EA7572">
        <w:rPr>
          <w:lang w:eastAsia="ru-RU"/>
        </w:rPr>
        <w:t xml:space="preserve"> </w:t>
      </w:r>
      <w:r w:rsidR="001D738B" w:rsidRPr="00EA7572">
        <w:rPr>
          <w:b/>
          <w:lang w:eastAsia="ru-RU"/>
        </w:rPr>
        <w:t xml:space="preserve">Место </w:t>
      </w:r>
      <w:r w:rsidR="006165AA" w:rsidRPr="00EA7572">
        <w:rPr>
          <w:b/>
          <w:lang w:eastAsia="ru-RU"/>
        </w:rPr>
        <w:t>поставки:</w:t>
      </w:r>
      <w:r>
        <w:rPr>
          <w:lang w:eastAsia="ru-RU"/>
        </w:rPr>
        <w:t xml:space="preserve"> </w:t>
      </w:r>
      <w:r w:rsidR="006165AA" w:rsidRPr="00EA7572">
        <w:rPr>
          <w:lang w:eastAsia="ru-RU"/>
        </w:rPr>
        <w:t>Администрация города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Югорска</w:t>
      </w:r>
      <w:proofErr w:type="spellEnd"/>
      <w:r w:rsidR="001D738B" w:rsidRPr="00EA7572">
        <w:rPr>
          <w:lang w:eastAsia="ru-RU"/>
        </w:rPr>
        <w:t xml:space="preserve"> Ханты-Мансийского автономного округа-Югры по адрес</w:t>
      </w:r>
      <w:r w:rsidR="00CC2715" w:rsidRPr="00EA7572">
        <w:rPr>
          <w:lang w:eastAsia="ru-RU"/>
        </w:rPr>
        <w:t>у</w:t>
      </w:r>
      <w:r w:rsidR="001D738B" w:rsidRPr="00EA7572">
        <w:rPr>
          <w:lang w:eastAsia="ru-RU"/>
        </w:rPr>
        <w:t xml:space="preserve">: 628260, Ханты-Мансийский автономный округ-Югра,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</w:t>
      </w:r>
      <w:r w:rsidR="007952E8" w:rsidRPr="00EA7572">
        <w:rPr>
          <w:lang w:eastAsia="ru-RU"/>
        </w:rPr>
        <w:t>Ю</w:t>
      </w:r>
      <w:proofErr w:type="gramEnd"/>
      <w:r w:rsidR="007952E8" w:rsidRPr="00EA7572">
        <w:rPr>
          <w:lang w:eastAsia="ru-RU"/>
        </w:rPr>
        <w:t>горск</w:t>
      </w:r>
      <w:proofErr w:type="spellEnd"/>
      <w:r w:rsidR="007952E8" w:rsidRPr="00EA7572">
        <w:rPr>
          <w:lang w:eastAsia="ru-RU"/>
        </w:rPr>
        <w:t>, ул. 40 лет Победы,11.</w:t>
      </w:r>
    </w:p>
    <w:p w:rsidR="007952E8" w:rsidRDefault="007952E8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7952E8" w:rsidRDefault="007952E8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B7A81" w:rsidRDefault="001B7A81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B7A81" w:rsidRPr="007952E8" w:rsidRDefault="001B7A81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C411D" w:rsidRDefault="00474A5D" w:rsidP="001D738B">
      <w:pPr>
        <w:suppressAutoHyphens w:val="0"/>
        <w:spacing w:after="60"/>
        <w:ind w:hanging="709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7952E8">
        <w:rPr>
          <w:lang w:eastAsia="ru-RU"/>
        </w:rPr>
        <w:t xml:space="preserve">  </w:t>
      </w:r>
      <w:r w:rsidR="001B7A81">
        <w:rPr>
          <w:lang w:eastAsia="ru-RU"/>
        </w:rPr>
        <w:t xml:space="preserve">               </w:t>
      </w:r>
      <w:r w:rsidR="007952E8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="001D738B" w:rsidRPr="00714D93">
        <w:rPr>
          <w:lang w:eastAsia="ru-RU"/>
        </w:rPr>
        <w:t xml:space="preserve">Заведующий по АХР                </w:t>
      </w:r>
      <w:r w:rsidR="001B7A81">
        <w:rPr>
          <w:lang w:eastAsia="ru-RU"/>
        </w:rPr>
        <w:t xml:space="preserve">                  </w:t>
      </w:r>
      <w:r w:rsidR="001D738B" w:rsidRPr="00714D93">
        <w:rPr>
          <w:lang w:eastAsia="ru-RU"/>
        </w:rPr>
        <w:t xml:space="preserve">         </w:t>
      </w:r>
      <w:r w:rsidR="007952E8">
        <w:rPr>
          <w:lang w:eastAsia="ru-RU"/>
        </w:rPr>
        <w:t xml:space="preserve">   </w:t>
      </w:r>
      <w:r w:rsidR="001B7A81">
        <w:rPr>
          <w:lang w:eastAsia="ru-RU"/>
        </w:rPr>
        <w:t xml:space="preserve">                </w:t>
      </w:r>
      <w:r w:rsidR="007952E8">
        <w:rPr>
          <w:lang w:eastAsia="ru-RU"/>
        </w:rPr>
        <w:t xml:space="preserve">       </w:t>
      </w:r>
      <w:r w:rsidR="001D738B">
        <w:rPr>
          <w:lang w:eastAsia="ru-RU"/>
        </w:rPr>
        <w:t xml:space="preserve">    </w:t>
      </w:r>
      <w:r w:rsidR="005D6426">
        <w:rPr>
          <w:lang w:eastAsia="ru-RU"/>
        </w:rPr>
        <w:t>Д.В. Питиримов</w:t>
      </w:r>
    </w:p>
    <w:p w:rsidR="00C708B2" w:rsidRDefault="00C708B2" w:rsidP="001D738B">
      <w:pPr>
        <w:suppressAutoHyphens w:val="0"/>
        <w:spacing w:after="60"/>
        <w:ind w:hanging="709"/>
        <w:jc w:val="both"/>
        <w:rPr>
          <w:lang w:eastAsia="ru-RU"/>
        </w:rPr>
      </w:pPr>
    </w:p>
    <w:p w:rsidR="00C708B2" w:rsidRDefault="00C708B2" w:rsidP="001D738B">
      <w:pPr>
        <w:suppressAutoHyphens w:val="0"/>
        <w:spacing w:after="60"/>
        <w:ind w:hanging="709"/>
        <w:jc w:val="both"/>
        <w:rPr>
          <w:lang w:eastAsia="ru-RU"/>
        </w:rPr>
      </w:pPr>
    </w:p>
    <w:sectPr w:rsidR="00C708B2" w:rsidSect="004B5FDC">
      <w:pgSz w:w="16838" w:h="11906" w:orient="landscape"/>
      <w:pgMar w:top="1077" w:right="820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77" w:rsidRDefault="00FD3277" w:rsidP="00CB66FB">
      <w:r>
        <w:separator/>
      </w:r>
    </w:p>
  </w:endnote>
  <w:endnote w:type="continuationSeparator" w:id="0">
    <w:p w:rsidR="00FD3277" w:rsidRDefault="00FD3277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77" w:rsidRDefault="00FD3277" w:rsidP="00CB66FB">
      <w:r>
        <w:separator/>
      </w:r>
    </w:p>
  </w:footnote>
  <w:footnote w:type="continuationSeparator" w:id="0">
    <w:p w:rsidR="00FD3277" w:rsidRDefault="00FD3277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7CF5"/>
    <w:rsid w:val="000704D4"/>
    <w:rsid w:val="00073D22"/>
    <w:rsid w:val="00076F1D"/>
    <w:rsid w:val="0009595E"/>
    <w:rsid w:val="000965DB"/>
    <w:rsid w:val="000C1935"/>
    <w:rsid w:val="000D3D55"/>
    <w:rsid w:val="000E2A76"/>
    <w:rsid w:val="000F430E"/>
    <w:rsid w:val="00107314"/>
    <w:rsid w:val="0011273B"/>
    <w:rsid w:val="0016127B"/>
    <w:rsid w:val="00164197"/>
    <w:rsid w:val="0016437C"/>
    <w:rsid w:val="00172DA1"/>
    <w:rsid w:val="001A18A4"/>
    <w:rsid w:val="001B7A81"/>
    <w:rsid w:val="001C2277"/>
    <w:rsid w:val="001D156D"/>
    <w:rsid w:val="001D738B"/>
    <w:rsid w:val="001D74C9"/>
    <w:rsid w:val="00237C97"/>
    <w:rsid w:val="00246A1A"/>
    <w:rsid w:val="00274E0F"/>
    <w:rsid w:val="00283A79"/>
    <w:rsid w:val="002A19C2"/>
    <w:rsid w:val="002A5B90"/>
    <w:rsid w:val="002B73C2"/>
    <w:rsid w:val="002C1DAD"/>
    <w:rsid w:val="002E0D9B"/>
    <w:rsid w:val="00300104"/>
    <w:rsid w:val="003026E8"/>
    <w:rsid w:val="0033095E"/>
    <w:rsid w:val="00360428"/>
    <w:rsid w:val="003677D7"/>
    <w:rsid w:val="00374DFC"/>
    <w:rsid w:val="003757D5"/>
    <w:rsid w:val="00386CF4"/>
    <w:rsid w:val="003A3026"/>
    <w:rsid w:val="003C4347"/>
    <w:rsid w:val="003C6E04"/>
    <w:rsid w:val="003E743F"/>
    <w:rsid w:val="00467D9D"/>
    <w:rsid w:val="00474A5D"/>
    <w:rsid w:val="00483135"/>
    <w:rsid w:val="00485B93"/>
    <w:rsid w:val="004B0FEE"/>
    <w:rsid w:val="004B5FDC"/>
    <w:rsid w:val="004C3875"/>
    <w:rsid w:val="004E7034"/>
    <w:rsid w:val="00504254"/>
    <w:rsid w:val="00512947"/>
    <w:rsid w:val="00520C82"/>
    <w:rsid w:val="005212A0"/>
    <w:rsid w:val="00522EE6"/>
    <w:rsid w:val="0056159C"/>
    <w:rsid w:val="00563D2C"/>
    <w:rsid w:val="005765B7"/>
    <w:rsid w:val="005973F1"/>
    <w:rsid w:val="005A05F0"/>
    <w:rsid w:val="005D1C6F"/>
    <w:rsid w:val="005D6426"/>
    <w:rsid w:val="005E1AE0"/>
    <w:rsid w:val="005F1603"/>
    <w:rsid w:val="00610F79"/>
    <w:rsid w:val="006165AA"/>
    <w:rsid w:val="0062348E"/>
    <w:rsid w:val="00661BC8"/>
    <w:rsid w:val="00663BA4"/>
    <w:rsid w:val="00664FEE"/>
    <w:rsid w:val="0067064D"/>
    <w:rsid w:val="006823B1"/>
    <w:rsid w:val="00691C99"/>
    <w:rsid w:val="006950E3"/>
    <w:rsid w:val="00695E43"/>
    <w:rsid w:val="006C29D4"/>
    <w:rsid w:val="006C6364"/>
    <w:rsid w:val="006C78CB"/>
    <w:rsid w:val="00702657"/>
    <w:rsid w:val="00711C01"/>
    <w:rsid w:val="007219BE"/>
    <w:rsid w:val="00752C3F"/>
    <w:rsid w:val="007952E8"/>
    <w:rsid w:val="007B2B3C"/>
    <w:rsid w:val="007C0418"/>
    <w:rsid w:val="007D086A"/>
    <w:rsid w:val="007D6E22"/>
    <w:rsid w:val="007D71BD"/>
    <w:rsid w:val="008161AD"/>
    <w:rsid w:val="00825CFA"/>
    <w:rsid w:val="008404EE"/>
    <w:rsid w:val="00854B03"/>
    <w:rsid w:val="00865BB8"/>
    <w:rsid w:val="00876077"/>
    <w:rsid w:val="008C1EA9"/>
    <w:rsid w:val="008F364F"/>
    <w:rsid w:val="008F7FEE"/>
    <w:rsid w:val="0094355D"/>
    <w:rsid w:val="00947223"/>
    <w:rsid w:val="00960B2E"/>
    <w:rsid w:val="009A7897"/>
    <w:rsid w:val="009C01D3"/>
    <w:rsid w:val="009D4A6D"/>
    <w:rsid w:val="00A03505"/>
    <w:rsid w:val="00A172E3"/>
    <w:rsid w:val="00A70B36"/>
    <w:rsid w:val="00A77444"/>
    <w:rsid w:val="00AB0168"/>
    <w:rsid w:val="00AB626C"/>
    <w:rsid w:val="00AF0A13"/>
    <w:rsid w:val="00B01215"/>
    <w:rsid w:val="00B27D2B"/>
    <w:rsid w:val="00B330A5"/>
    <w:rsid w:val="00B3376C"/>
    <w:rsid w:val="00B472D6"/>
    <w:rsid w:val="00B74C47"/>
    <w:rsid w:val="00B84B78"/>
    <w:rsid w:val="00BA33EB"/>
    <w:rsid w:val="00BB01F1"/>
    <w:rsid w:val="00BD3347"/>
    <w:rsid w:val="00BE2B2F"/>
    <w:rsid w:val="00C15397"/>
    <w:rsid w:val="00C2068E"/>
    <w:rsid w:val="00C2705F"/>
    <w:rsid w:val="00C30D93"/>
    <w:rsid w:val="00C46A7C"/>
    <w:rsid w:val="00C53CA8"/>
    <w:rsid w:val="00C66243"/>
    <w:rsid w:val="00C708B2"/>
    <w:rsid w:val="00C84F11"/>
    <w:rsid w:val="00CA0BB7"/>
    <w:rsid w:val="00CB4EC4"/>
    <w:rsid w:val="00CB66FB"/>
    <w:rsid w:val="00CC2715"/>
    <w:rsid w:val="00CC411D"/>
    <w:rsid w:val="00CC5EF9"/>
    <w:rsid w:val="00D03B9E"/>
    <w:rsid w:val="00D30E0B"/>
    <w:rsid w:val="00D42A64"/>
    <w:rsid w:val="00D51C28"/>
    <w:rsid w:val="00D64E34"/>
    <w:rsid w:val="00D77C63"/>
    <w:rsid w:val="00D8231E"/>
    <w:rsid w:val="00DB774B"/>
    <w:rsid w:val="00DC616B"/>
    <w:rsid w:val="00DD59C3"/>
    <w:rsid w:val="00DE4E03"/>
    <w:rsid w:val="00DF3DC3"/>
    <w:rsid w:val="00E04458"/>
    <w:rsid w:val="00E168B1"/>
    <w:rsid w:val="00E36096"/>
    <w:rsid w:val="00E4167F"/>
    <w:rsid w:val="00E55B89"/>
    <w:rsid w:val="00E663B6"/>
    <w:rsid w:val="00E77E7D"/>
    <w:rsid w:val="00EA7572"/>
    <w:rsid w:val="00EE0BD2"/>
    <w:rsid w:val="00EE5783"/>
    <w:rsid w:val="00EE6342"/>
    <w:rsid w:val="00EF1822"/>
    <w:rsid w:val="00F02883"/>
    <w:rsid w:val="00F57A4B"/>
    <w:rsid w:val="00F6588C"/>
    <w:rsid w:val="00F711E1"/>
    <w:rsid w:val="00F73667"/>
    <w:rsid w:val="00F9649E"/>
    <w:rsid w:val="00F97F70"/>
    <w:rsid w:val="00FD3277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896D-AF06-45EA-8145-892C41A9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46</cp:revision>
  <cp:lastPrinted>2025-05-14T06:28:00Z</cp:lastPrinted>
  <dcterms:created xsi:type="dcterms:W3CDTF">2021-06-28T12:09:00Z</dcterms:created>
  <dcterms:modified xsi:type="dcterms:W3CDTF">2025-05-19T12:03:00Z</dcterms:modified>
</cp:coreProperties>
</file>